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6F2" w:rsidRPr="00F34150" w:rsidRDefault="00AF76F2" w:rsidP="00AF76F2">
      <w:pPr>
        <w:rPr>
          <w:rFonts w:ascii="Times New Roman" w:hAnsi="Times New Roman" w:cs="Times New Roman"/>
          <w:b/>
          <w:bCs/>
          <w:sz w:val="24"/>
          <w:szCs w:val="24"/>
        </w:rPr>
      </w:pPr>
      <w:r w:rsidRPr="00F34150">
        <w:rPr>
          <w:rFonts w:ascii="Times New Roman" w:hAnsi="Times New Roman" w:cs="Times New Roman"/>
          <w:b/>
          <w:bCs/>
          <w:sz w:val="24"/>
          <w:szCs w:val="24"/>
        </w:rPr>
        <w:t>Ölçme ve Değerlendirme</w:t>
      </w:r>
    </w:p>
    <w:p w:rsidR="00780398" w:rsidRPr="00F34150" w:rsidRDefault="00AF76F2" w:rsidP="00AF76F2">
      <w:pPr>
        <w:jc w:val="both"/>
        <w:rPr>
          <w:rFonts w:ascii="Times New Roman" w:hAnsi="Times New Roman" w:cs="Times New Roman"/>
          <w:sz w:val="24"/>
          <w:szCs w:val="24"/>
        </w:rPr>
      </w:pPr>
      <w:r w:rsidRPr="00F34150">
        <w:rPr>
          <w:rFonts w:ascii="Times New Roman" w:hAnsi="Times New Roman" w:cs="Times New Roman"/>
          <w:sz w:val="24"/>
          <w:szCs w:val="24"/>
        </w:rPr>
        <w:t>Bölümümüzde derslere ait ölçme ve değerlendirme sistemi </w:t>
      </w:r>
      <w:hyperlink r:id="rId5" w:tgtFrame="_blank" w:history="1">
        <w:r w:rsidRPr="00F34150">
          <w:rPr>
            <w:rStyle w:val="Kpr"/>
            <w:rFonts w:ascii="Times New Roman" w:hAnsi="Times New Roman" w:cs="Times New Roman"/>
            <w:sz w:val="24"/>
            <w:szCs w:val="24"/>
          </w:rPr>
          <w:t>“Karamanoğlu Mehmetbey Üniversitesi Önlisans ve Lisans Eğitim Öğretim ve Sınav Yönetmeliği”</w:t>
        </w:r>
      </w:hyperlink>
      <w:r w:rsidRPr="00F34150">
        <w:rPr>
          <w:rFonts w:ascii="Times New Roman" w:hAnsi="Times New Roman" w:cs="Times New Roman"/>
          <w:sz w:val="24"/>
          <w:szCs w:val="24"/>
        </w:rPr>
        <w:t> hükümlerine göre yürütülmektedir</w:t>
      </w:r>
      <w:r w:rsidR="00780398" w:rsidRPr="00F34150">
        <w:rPr>
          <w:rFonts w:ascii="Times New Roman" w:hAnsi="Times New Roman" w:cs="Times New Roman"/>
          <w:sz w:val="24"/>
          <w:szCs w:val="24"/>
        </w:rPr>
        <w:t>.</w:t>
      </w:r>
    </w:p>
    <w:p w:rsidR="004E0F1F" w:rsidRPr="00F34150" w:rsidRDefault="00780398" w:rsidP="00780398">
      <w:pPr>
        <w:jc w:val="both"/>
        <w:rPr>
          <w:rFonts w:ascii="Times New Roman" w:hAnsi="Times New Roman" w:cs="Times New Roman"/>
          <w:sz w:val="24"/>
          <w:szCs w:val="24"/>
        </w:rPr>
      </w:pPr>
      <w:r w:rsidRPr="00F34150">
        <w:rPr>
          <w:rFonts w:ascii="Times New Roman" w:hAnsi="Times New Roman" w:cs="Times New Roman"/>
          <w:sz w:val="24"/>
          <w:szCs w:val="24"/>
        </w:rPr>
        <w:br/>
      </w:r>
      <w:hyperlink r:id="rId6" w:history="1">
        <w:r w:rsidRPr="00F34150">
          <w:rPr>
            <w:rStyle w:val="Kpr"/>
            <w:rFonts w:ascii="Times New Roman" w:hAnsi="Times New Roman" w:cs="Times New Roman"/>
            <w:b/>
            <w:bCs/>
            <w:sz w:val="24"/>
            <w:szCs w:val="24"/>
          </w:rPr>
          <w:t>Sınav Türleri</w:t>
        </w:r>
      </w:hyperlink>
    </w:p>
    <w:p w:rsidR="00E71830" w:rsidRPr="00F34150" w:rsidRDefault="00780398" w:rsidP="00780398">
      <w:pPr>
        <w:jc w:val="both"/>
        <w:rPr>
          <w:rFonts w:ascii="Times New Roman" w:hAnsi="Times New Roman" w:cs="Times New Roman"/>
          <w:bCs/>
          <w:sz w:val="24"/>
          <w:szCs w:val="24"/>
        </w:rPr>
      </w:pPr>
      <w:r w:rsidRPr="00F34150">
        <w:rPr>
          <w:rFonts w:ascii="Times New Roman" w:hAnsi="Times New Roman" w:cs="Times New Roman"/>
          <w:b/>
          <w:bCs/>
          <w:sz w:val="24"/>
          <w:szCs w:val="24"/>
        </w:rPr>
        <w:t>Muafiyet sınavı: </w:t>
      </w:r>
      <w:r w:rsidR="00E71830" w:rsidRPr="00F34150">
        <w:rPr>
          <w:rFonts w:ascii="Times New Roman" w:hAnsi="Times New Roman" w:cs="Times New Roman"/>
          <w:bCs/>
          <w:sz w:val="24"/>
          <w:szCs w:val="24"/>
        </w:rPr>
        <w:t>Üniversiteye yeni kay</w:t>
      </w:r>
      <w:bookmarkStart w:id="0" w:name="_GoBack"/>
      <w:bookmarkEnd w:id="0"/>
      <w:r w:rsidR="00E71830" w:rsidRPr="00F34150">
        <w:rPr>
          <w:rFonts w:ascii="Times New Roman" w:hAnsi="Times New Roman" w:cs="Times New Roman"/>
          <w:bCs/>
          <w:sz w:val="24"/>
          <w:szCs w:val="24"/>
        </w:rPr>
        <w:t xml:space="preserve">ıt yaptıran öğrencilere eğitim-öğretim yılı başında Senatonun belirleyeceği derslerden muafiyet sınavı açılabilir. Bu sınavdan başarılı olmak için 60 ve üzeri not almak gerekir. </w:t>
      </w:r>
    </w:p>
    <w:p w:rsidR="00780398" w:rsidRPr="00F34150" w:rsidRDefault="00780398" w:rsidP="00780398">
      <w:pPr>
        <w:jc w:val="both"/>
        <w:rPr>
          <w:rFonts w:ascii="Times New Roman" w:hAnsi="Times New Roman" w:cs="Times New Roman"/>
          <w:b/>
          <w:bCs/>
          <w:sz w:val="24"/>
          <w:szCs w:val="24"/>
        </w:rPr>
      </w:pPr>
      <w:r w:rsidRPr="00F34150">
        <w:rPr>
          <w:rFonts w:ascii="Times New Roman" w:hAnsi="Times New Roman" w:cs="Times New Roman"/>
          <w:b/>
          <w:bCs/>
          <w:sz w:val="24"/>
          <w:szCs w:val="24"/>
        </w:rPr>
        <w:t>Ara sınav: </w:t>
      </w:r>
      <w:r w:rsidRPr="00F34150">
        <w:rPr>
          <w:rFonts w:ascii="Times New Roman" w:hAnsi="Times New Roman" w:cs="Times New Roman"/>
          <w:bCs/>
          <w:sz w:val="24"/>
          <w:szCs w:val="24"/>
        </w:rPr>
        <w:t>Her ders için en az bir ara sınav yapılır.</w:t>
      </w:r>
      <w:r w:rsidRPr="00F34150">
        <w:rPr>
          <w:rFonts w:ascii="Times New Roman" w:hAnsi="Times New Roman" w:cs="Times New Roman"/>
          <w:b/>
          <w:bCs/>
          <w:sz w:val="24"/>
          <w:szCs w:val="24"/>
        </w:rPr>
        <w:t> </w:t>
      </w:r>
    </w:p>
    <w:p w:rsidR="00AE31E6" w:rsidRPr="00F34150" w:rsidRDefault="00780398" w:rsidP="00780398">
      <w:pPr>
        <w:jc w:val="both"/>
        <w:rPr>
          <w:rFonts w:ascii="Times New Roman" w:hAnsi="Times New Roman" w:cs="Times New Roman"/>
          <w:bCs/>
          <w:sz w:val="24"/>
          <w:szCs w:val="24"/>
        </w:rPr>
      </w:pPr>
      <w:r w:rsidRPr="00F34150">
        <w:rPr>
          <w:rFonts w:ascii="Times New Roman" w:hAnsi="Times New Roman" w:cs="Times New Roman"/>
          <w:b/>
          <w:bCs/>
          <w:sz w:val="24"/>
          <w:szCs w:val="24"/>
        </w:rPr>
        <w:t>Mazeret sınavı: </w:t>
      </w:r>
      <w:r w:rsidR="00B57773" w:rsidRPr="00F34150">
        <w:rPr>
          <w:rFonts w:ascii="Times New Roman" w:hAnsi="Times New Roman" w:cs="Times New Roman"/>
          <w:bCs/>
          <w:sz w:val="24"/>
          <w:szCs w:val="24"/>
        </w:rPr>
        <w:t xml:space="preserve">Yalnız ara sınavlar için yapılır. Senato kararında belirtilen hâllerde ara sınavlara katılamayan öğrencilere mazeret sınav hakkı tanınabilmesi için, sağlık raporlarının resmî ya da hasta kabul yetkisi bulunan özel sağlık kuruluşlarından alınmış olması ve raporun düzenlendiği tarihten itibaren beş iş günü içinde dilekçeyle ilgili bölüm başkanlığına başvurulması gerekmektedir. </w:t>
      </w:r>
      <w:r w:rsidR="00AE31E6" w:rsidRPr="00F34150">
        <w:rPr>
          <w:rFonts w:ascii="Times New Roman" w:hAnsi="Times New Roman" w:cs="Times New Roman"/>
          <w:bCs/>
          <w:sz w:val="24"/>
          <w:szCs w:val="24"/>
        </w:rPr>
        <w:t>Mazereti uygun bulunan öğrencilere, ilgili birim yönet</w:t>
      </w:r>
      <w:r w:rsidR="00B57773" w:rsidRPr="00F34150">
        <w:rPr>
          <w:rFonts w:ascii="Times New Roman" w:hAnsi="Times New Roman" w:cs="Times New Roman"/>
          <w:bCs/>
          <w:sz w:val="24"/>
          <w:szCs w:val="24"/>
        </w:rPr>
        <w:t>im kurulu kararıyla yarıyıl/yıl</w:t>
      </w:r>
      <w:r w:rsidR="00AE31E6" w:rsidRPr="00F34150">
        <w:rPr>
          <w:rFonts w:ascii="Times New Roman" w:hAnsi="Times New Roman" w:cs="Times New Roman"/>
          <w:bCs/>
          <w:sz w:val="24"/>
          <w:szCs w:val="24"/>
        </w:rPr>
        <w:t>sonu sınavından önce, aynı yarıyıl içinde ve ilan edilen tarihlerde mazeret sınavı hakkı verilir. Mazeret sınavları için ikinci bir hak tanınmaz.</w:t>
      </w:r>
    </w:p>
    <w:p w:rsidR="00780398" w:rsidRPr="00F34150" w:rsidRDefault="00780398" w:rsidP="00780398">
      <w:pPr>
        <w:jc w:val="both"/>
        <w:rPr>
          <w:rFonts w:ascii="Times New Roman" w:hAnsi="Times New Roman" w:cs="Times New Roman"/>
          <w:bCs/>
          <w:sz w:val="24"/>
          <w:szCs w:val="24"/>
        </w:rPr>
      </w:pPr>
      <w:r w:rsidRPr="00F34150">
        <w:rPr>
          <w:rFonts w:ascii="Times New Roman" w:hAnsi="Times New Roman" w:cs="Times New Roman"/>
          <w:b/>
          <w:bCs/>
          <w:sz w:val="24"/>
          <w:szCs w:val="24"/>
        </w:rPr>
        <w:t>Dönem sonu sınavı: </w:t>
      </w:r>
      <w:r w:rsidRPr="00F34150">
        <w:rPr>
          <w:rFonts w:ascii="Times New Roman" w:hAnsi="Times New Roman" w:cs="Times New Roman"/>
          <w:bCs/>
          <w:sz w:val="24"/>
          <w:szCs w:val="24"/>
        </w:rPr>
        <w:t>Dersin alındığı dönemin sonunda yapılan sınavdır.</w:t>
      </w:r>
    </w:p>
    <w:p w:rsidR="00780398" w:rsidRPr="00F34150" w:rsidRDefault="00780398" w:rsidP="00780398">
      <w:pPr>
        <w:jc w:val="both"/>
        <w:rPr>
          <w:rFonts w:ascii="Times New Roman" w:hAnsi="Times New Roman" w:cs="Times New Roman"/>
          <w:bCs/>
          <w:sz w:val="24"/>
          <w:szCs w:val="24"/>
        </w:rPr>
      </w:pPr>
      <w:r w:rsidRPr="00F34150">
        <w:rPr>
          <w:rFonts w:ascii="Times New Roman" w:hAnsi="Times New Roman" w:cs="Times New Roman"/>
          <w:b/>
          <w:bCs/>
          <w:sz w:val="24"/>
          <w:szCs w:val="24"/>
        </w:rPr>
        <w:t>Bütünleme sınavı: </w:t>
      </w:r>
      <w:r w:rsidRPr="00F34150">
        <w:rPr>
          <w:rFonts w:ascii="Times New Roman" w:hAnsi="Times New Roman" w:cs="Times New Roman"/>
          <w:bCs/>
          <w:sz w:val="24"/>
          <w:szCs w:val="24"/>
        </w:rPr>
        <w:t>Bu sınava, dersin dönem sonu sınavına girme hakkı kazanan öğrenciler girebilir. Ancak, dersin dönem sonu sınavında başarılı olan öğrencinin bu sınava girebilmesi için, ilgili dönem sonu sınav notlarının BİM (Bilgi İşlem Merkezi) ortamına yüklenmesinin son gününe kadar birimine yazılı müracaat etmesi gerekir.</w:t>
      </w:r>
    </w:p>
    <w:p w:rsidR="00780398" w:rsidRPr="00F34150" w:rsidRDefault="00780398" w:rsidP="00780398">
      <w:pPr>
        <w:jc w:val="both"/>
        <w:rPr>
          <w:rFonts w:ascii="Times New Roman" w:hAnsi="Times New Roman" w:cs="Times New Roman"/>
          <w:bCs/>
          <w:sz w:val="24"/>
          <w:szCs w:val="24"/>
        </w:rPr>
      </w:pPr>
      <w:r w:rsidRPr="00F34150">
        <w:rPr>
          <w:rFonts w:ascii="Times New Roman" w:hAnsi="Times New Roman" w:cs="Times New Roman"/>
          <w:b/>
          <w:bCs/>
          <w:sz w:val="24"/>
          <w:szCs w:val="24"/>
        </w:rPr>
        <w:t>Üç ders sınavı: </w:t>
      </w:r>
      <w:r w:rsidRPr="00F34150">
        <w:rPr>
          <w:rFonts w:ascii="Times New Roman" w:hAnsi="Times New Roman" w:cs="Times New Roman"/>
          <w:bCs/>
          <w:sz w:val="24"/>
          <w:szCs w:val="24"/>
        </w:rPr>
        <w:t>Kayıtlı bulunduğu programdaki tüm dersleri alan ve devam şartını sağlayan, ancak</w:t>
      </w:r>
      <w:r w:rsidR="004E0F1F" w:rsidRPr="00F34150">
        <w:rPr>
          <w:rFonts w:ascii="Times New Roman" w:hAnsi="Times New Roman" w:cs="Times New Roman"/>
          <w:bCs/>
          <w:sz w:val="24"/>
          <w:szCs w:val="24"/>
        </w:rPr>
        <w:t xml:space="preserve"> bütünleme sınavları sonunda üç</w:t>
      </w:r>
      <w:r w:rsidRPr="00F34150">
        <w:rPr>
          <w:rFonts w:ascii="Times New Roman" w:hAnsi="Times New Roman" w:cs="Times New Roman"/>
          <w:bCs/>
          <w:sz w:val="24"/>
          <w:szCs w:val="24"/>
        </w:rPr>
        <w:t xml:space="preserve"> dersten başarısız olan öğrenciler için yapılır. Bu sınavda alınan not ham başarı puanı sayılır.</w:t>
      </w:r>
    </w:p>
    <w:p w:rsidR="00DF3C47" w:rsidRPr="00F34150" w:rsidRDefault="00DF3C47" w:rsidP="00DF3C47">
      <w:pPr>
        <w:jc w:val="both"/>
        <w:rPr>
          <w:rFonts w:ascii="Times New Roman" w:hAnsi="Times New Roman" w:cs="Times New Roman"/>
          <w:b/>
          <w:bCs/>
          <w:sz w:val="24"/>
          <w:szCs w:val="24"/>
        </w:rPr>
      </w:pPr>
      <w:r w:rsidRPr="00F34150">
        <w:rPr>
          <w:rFonts w:ascii="Times New Roman" w:hAnsi="Times New Roman" w:cs="Times New Roman"/>
          <w:b/>
          <w:bCs/>
          <w:sz w:val="24"/>
          <w:szCs w:val="24"/>
        </w:rPr>
        <w:br/>
      </w:r>
      <w:hyperlink r:id="rId7" w:history="1">
        <w:r w:rsidRPr="00F34150">
          <w:rPr>
            <w:rStyle w:val="Kpr"/>
            <w:rFonts w:ascii="Times New Roman" w:hAnsi="Times New Roman" w:cs="Times New Roman"/>
            <w:b/>
            <w:bCs/>
            <w:sz w:val="24"/>
            <w:szCs w:val="24"/>
          </w:rPr>
          <w:t>Sınav Yapılış Biçimleri ve İlişkili Takvimler</w:t>
        </w:r>
      </w:hyperlink>
    </w:p>
    <w:p w:rsidR="00E71830" w:rsidRPr="00F34150" w:rsidRDefault="00E71830" w:rsidP="008A66E3">
      <w:pPr>
        <w:numPr>
          <w:ilvl w:val="0"/>
          <w:numId w:val="1"/>
        </w:numPr>
        <w:ind w:left="357" w:hanging="357"/>
        <w:jc w:val="both"/>
        <w:rPr>
          <w:rFonts w:ascii="Times New Roman" w:hAnsi="Times New Roman" w:cs="Times New Roman"/>
          <w:bCs/>
          <w:sz w:val="24"/>
          <w:szCs w:val="24"/>
        </w:rPr>
      </w:pPr>
      <w:r w:rsidRPr="00F34150">
        <w:rPr>
          <w:rFonts w:ascii="Times New Roman" w:hAnsi="Times New Roman" w:cs="Times New Roman"/>
          <w:bCs/>
          <w:sz w:val="24"/>
          <w:szCs w:val="24"/>
        </w:rPr>
        <w:t xml:space="preserve">Sınavlar; ara sınav, yarıyıl/yılsonu sınavı, bütünleme sınavı, üç ders sınavı, muafiyet sınavı, uygulama sınavı, sözlü sınav, mazeret sınavı, yeterlik sınavı ve ek sınavlardır. Bu sınavlar yazılı, sözlü, yazılı-sözlü ve uygulamalı olarak yapılabilir. Sınavların sözlü veya uygulamalı olarak yapılacağı; uygulama, staj, tez, proje ve benzeri çalışmaların nasıl değerlendirileceği ilgili öğretim elemanınca yarıyılın ilk iki haftası içinde ilan edilir. </w:t>
      </w:r>
    </w:p>
    <w:p w:rsidR="008A66E3" w:rsidRPr="00F34150" w:rsidRDefault="00DF3C47" w:rsidP="008A66E3">
      <w:pPr>
        <w:numPr>
          <w:ilvl w:val="0"/>
          <w:numId w:val="1"/>
        </w:numPr>
        <w:ind w:left="357" w:hanging="357"/>
        <w:jc w:val="both"/>
        <w:rPr>
          <w:rFonts w:ascii="Times New Roman" w:hAnsi="Times New Roman" w:cs="Times New Roman"/>
          <w:bCs/>
          <w:sz w:val="24"/>
          <w:szCs w:val="24"/>
        </w:rPr>
      </w:pPr>
      <w:r w:rsidRPr="00F34150">
        <w:rPr>
          <w:rFonts w:ascii="Times New Roman" w:hAnsi="Times New Roman" w:cs="Times New Roman"/>
          <w:bCs/>
          <w:sz w:val="24"/>
          <w:szCs w:val="24"/>
        </w:rPr>
        <w:t>Sınav gün ve saatleri, akademik takvime uygun olarak bölümler ta</w:t>
      </w:r>
      <w:r w:rsidR="002B06C7" w:rsidRPr="00F34150">
        <w:rPr>
          <w:rFonts w:ascii="Times New Roman" w:hAnsi="Times New Roman" w:cs="Times New Roman"/>
          <w:bCs/>
          <w:sz w:val="24"/>
          <w:szCs w:val="24"/>
        </w:rPr>
        <w:t>rafından ve sınavlardan en az iki hafta</w:t>
      </w:r>
      <w:r w:rsidRPr="00F34150">
        <w:rPr>
          <w:rFonts w:ascii="Times New Roman" w:hAnsi="Times New Roman" w:cs="Times New Roman"/>
          <w:bCs/>
          <w:sz w:val="24"/>
          <w:szCs w:val="24"/>
        </w:rPr>
        <w:t xml:space="preserve"> önce ilan edilir. Sınav günü ve saati, ileri bir tarihe alınmak kaydıyla, bölümler tarafından değiştirilebilir.</w:t>
      </w:r>
    </w:p>
    <w:p w:rsidR="008A66E3" w:rsidRPr="00F34150" w:rsidRDefault="00DF3C47" w:rsidP="008A66E3">
      <w:pPr>
        <w:numPr>
          <w:ilvl w:val="0"/>
          <w:numId w:val="1"/>
        </w:numPr>
        <w:ind w:left="357" w:hanging="357"/>
        <w:jc w:val="both"/>
        <w:rPr>
          <w:rFonts w:ascii="Times New Roman" w:hAnsi="Times New Roman" w:cs="Times New Roman"/>
          <w:bCs/>
          <w:sz w:val="24"/>
          <w:szCs w:val="24"/>
        </w:rPr>
      </w:pPr>
      <w:r w:rsidRPr="00F34150">
        <w:rPr>
          <w:rFonts w:ascii="Times New Roman" w:hAnsi="Times New Roman" w:cs="Times New Roman"/>
          <w:bCs/>
          <w:sz w:val="24"/>
          <w:szCs w:val="24"/>
        </w:rPr>
        <w:t>Bir öğretim programında aynı dönem derslerinden en çok iki dersin sınavı aynı günde yapılabilir.</w:t>
      </w:r>
    </w:p>
    <w:p w:rsidR="00D2637C" w:rsidRPr="00F34150" w:rsidRDefault="00DF3C47" w:rsidP="00DF3C47">
      <w:pPr>
        <w:numPr>
          <w:ilvl w:val="0"/>
          <w:numId w:val="1"/>
        </w:numPr>
        <w:ind w:left="357" w:hanging="357"/>
        <w:jc w:val="both"/>
        <w:rPr>
          <w:rFonts w:ascii="Times New Roman" w:hAnsi="Times New Roman" w:cs="Times New Roman"/>
          <w:bCs/>
          <w:sz w:val="24"/>
          <w:szCs w:val="24"/>
        </w:rPr>
      </w:pPr>
      <w:r w:rsidRPr="00F34150">
        <w:rPr>
          <w:rFonts w:ascii="Times New Roman" w:hAnsi="Times New Roman" w:cs="Times New Roman"/>
          <w:bCs/>
          <w:sz w:val="24"/>
          <w:szCs w:val="24"/>
        </w:rPr>
        <w:t>Öğrenci, süresi içinde ve usulüne uygun olarak kaydolmadığı derse devam edemez ve bu dersin sınavlarına giremez. Kaydolmadığı dersin sınavına giren öğrencinin sınavı geçersiz sayılır.</w:t>
      </w:r>
    </w:p>
    <w:p w:rsidR="00DF3C47" w:rsidRPr="00F34150" w:rsidRDefault="00DF3C47" w:rsidP="00D2637C">
      <w:pPr>
        <w:jc w:val="both"/>
        <w:rPr>
          <w:rFonts w:ascii="Times New Roman" w:hAnsi="Times New Roman" w:cs="Times New Roman"/>
          <w:bCs/>
          <w:sz w:val="24"/>
          <w:szCs w:val="24"/>
        </w:rPr>
      </w:pPr>
      <w:r w:rsidRPr="00F34150">
        <w:rPr>
          <w:rFonts w:ascii="Times New Roman" w:hAnsi="Times New Roman" w:cs="Times New Roman"/>
          <w:b/>
          <w:bCs/>
          <w:sz w:val="24"/>
          <w:szCs w:val="24"/>
        </w:rPr>
        <w:lastRenderedPageBreak/>
        <w:br/>
      </w:r>
      <w:hyperlink r:id="rId8" w:history="1">
        <w:r w:rsidRPr="00F34150">
          <w:rPr>
            <w:rStyle w:val="Kpr"/>
            <w:rFonts w:ascii="Times New Roman" w:hAnsi="Times New Roman" w:cs="Times New Roman"/>
            <w:b/>
            <w:bCs/>
            <w:sz w:val="24"/>
            <w:szCs w:val="24"/>
          </w:rPr>
          <w:t>Sınav Sonuçlarına İtiraz Süreci</w:t>
        </w:r>
      </w:hyperlink>
    </w:p>
    <w:p w:rsidR="00D2637C" w:rsidRPr="00F34150" w:rsidRDefault="002B06C7" w:rsidP="00DF3C47">
      <w:pPr>
        <w:jc w:val="both"/>
        <w:rPr>
          <w:rFonts w:ascii="Times New Roman" w:hAnsi="Times New Roman" w:cs="Times New Roman"/>
          <w:sz w:val="24"/>
          <w:szCs w:val="24"/>
        </w:rPr>
      </w:pPr>
      <w:r w:rsidRPr="00F34150">
        <w:rPr>
          <w:rFonts w:ascii="Times New Roman" w:hAnsi="Times New Roman" w:cs="Times New Roman"/>
          <w:sz w:val="24"/>
          <w:szCs w:val="24"/>
        </w:rPr>
        <w:t>Ders sorumlusu veya öğrenci maddi hata gerekçesiyle sınav sonuçlarının ilanından itibaren üç iş günü içerisinde bölüm başkanlığına dilekçe ile başvuru yaparak sınav sonuçlarının değiştirilmesini talep edebilir. Bölüm başkanlığının onayına istinaden not değişiklik talepleri dersi veren öğretim elemanı tarafından en geç iki iş günü içerisinde değerlendirilir ve varsa not düzeltmeleri akademik bilgi sistemine işlenir. Süresi içinde tamamlanamayan not düzeltmeleri için ilgili yönetim kurulu kararı gereklidir. Maddi hata başvuru ve değerlendirme evrakları dersi veren öğretim elemanı tarafından iki yıl süre ile saklanır.</w:t>
      </w:r>
    </w:p>
    <w:p w:rsidR="004F0D09" w:rsidRPr="00F34150" w:rsidRDefault="004F0D09" w:rsidP="00DF3C47">
      <w:pPr>
        <w:jc w:val="both"/>
        <w:rPr>
          <w:rFonts w:ascii="Times New Roman" w:hAnsi="Times New Roman" w:cs="Times New Roman"/>
          <w:sz w:val="24"/>
          <w:szCs w:val="24"/>
        </w:rPr>
      </w:pPr>
    </w:p>
    <w:p w:rsidR="00DF3C47" w:rsidRPr="00F34150" w:rsidRDefault="00F34150" w:rsidP="00DF3C47">
      <w:pPr>
        <w:jc w:val="both"/>
        <w:rPr>
          <w:rFonts w:ascii="Times New Roman" w:hAnsi="Times New Roman" w:cs="Times New Roman"/>
          <w:sz w:val="24"/>
          <w:szCs w:val="24"/>
        </w:rPr>
      </w:pPr>
      <w:hyperlink r:id="rId9" w:tgtFrame="_blank" w:history="1">
        <w:r w:rsidR="00DF3C47" w:rsidRPr="00F34150">
          <w:rPr>
            <w:rStyle w:val="Kpr"/>
            <w:rFonts w:ascii="Times New Roman" w:hAnsi="Times New Roman" w:cs="Times New Roman"/>
            <w:b/>
            <w:bCs/>
            <w:sz w:val="24"/>
            <w:szCs w:val="24"/>
          </w:rPr>
          <w:t>Değerlendirme ve Notlar</w:t>
        </w:r>
      </w:hyperlink>
    </w:p>
    <w:p w:rsidR="00DF3C47" w:rsidRPr="00F34150" w:rsidRDefault="00DF3C47" w:rsidP="00DF3C47">
      <w:pPr>
        <w:jc w:val="both"/>
        <w:rPr>
          <w:rFonts w:ascii="Times New Roman" w:hAnsi="Times New Roman" w:cs="Times New Roman"/>
          <w:sz w:val="24"/>
          <w:szCs w:val="24"/>
        </w:rPr>
      </w:pPr>
      <w:r w:rsidRPr="00F34150">
        <w:rPr>
          <w:rFonts w:ascii="Times New Roman" w:hAnsi="Times New Roman" w:cs="Times New Roman"/>
          <w:sz w:val="24"/>
          <w:szCs w:val="24"/>
        </w:rPr>
        <w:t>(1) Ham başarı puanı için dönem içi çalışma ve sınavlarının toplam ağırlığı % 40 iken dönem sonu sınavlarının ağırlığı % 60’tır.</w:t>
      </w:r>
    </w:p>
    <w:p w:rsidR="008A66E3" w:rsidRPr="00F34150" w:rsidRDefault="00DF3C47" w:rsidP="00DF3C47">
      <w:pPr>
        <w:jc w:val="both"/>
        <w:rPr>
          <w:rFonts w:ascii="Times New Roman" w:hAnsi="Times New Roman" w:cs="Times New Roman"/>
          <w:sz w:val="24"/>
          <w:szCs w:val="24"/>
        </w:rPr>
      </w:pPr>
      <w:r w:rsidRPr="00F34150">
        <w:rPr>
          <w:rFonts w:ascii="Times New Roman" w:hAnsi="Times New Roman" w:cs="Times New Roman"/>
          <w:sz w:val="24"/>
          <w:szCs w:val="24"/>
        </w:rPr>
        <w:t xml:space="preserve">(2) </w:t>
      </w:r>
      <w:r w:rsidR="008A66E3" w:rsidRPr="00F34150">
        <w:rPr>
          <w:rFonts w:ascii="Times New Roman" w:hAnsi="Times New Roman" w:cs="Times New Roman"/>
          <w:sz w:val="24"/>
          <w:szCs w:val="24"/>
        </w:rPr>
        <w:t xml:space="preserve">Dersin başarı notu, dersin başarı ortalaması esas alınarak bağıl değerlendirme yöntemi kullanılarak hesaplanır. Bağıl değerlendirme yöntemi uygulama esasları Senato tarafından belirlenir. Bağıl değerlendirme yöntemi kullanılarak her öğrenciye ilgili öğretim elemanı tarafından başarı derecesini belirten harfle ifade edilen ve aşağıdaki tabloda belirtilen başarı notları verilir: </w:t>
      </w:r>
    </w:p>
    <w:p w:rsidR="00DF3C47" w:rsidRPr="00F34150" w:rsidRDefault="00DF3C47" w:rsidP="00DF3C47">
      <w:pPr>
        <w:jc w:val="both"/>
        <w:rPr>
          <w:rFonts w:ascii="Times New Roman" w:hAnsi="Times New Roman" w:cs="Times New Roman"/>
          <w:sz w:val="24"/>
          <w:szCs w:val="24"/>
        </w:rPr>
      </w:pPr>
      <w:r w:rsidRPr="00F34150">
        <w:rPr>
          <w:rFonts w:ascii="Times New Roman" w:hAnsi="Times New Roman" w:cs="Times New Roman"/>
          <w:sz w:val="24"/>
          <w:szCs w:val="24"/>
        </w:rPr>
        <w:t>a)</w:t>
      </w:r>
      <w:r w:rsidR="008A66E3" w:rsidRPr="00F34150">
        <w:rPr>
          <w:rFonts w:ascii="Times New Roman" w:hAnsi="Times New Roman" w:cs="Times New Roman"/>
          <w:sz w:val="24"/>
          <w:szCs w:val="24"/>
        </w:rPr>
        <w:t xml:space="preserve"> Başarı Notu Katsayısı Yüzde Karşılığı Derecelendirme</w:t>
      </w:r>
      <w:r w:rsidRPr="00F34150">
        <w:rPr>
          <w:rFonts w:ascii="Times New Roman" w:hAnsi="Times New Roman" w:cs="Times New Roman"/>
          <w:sz w:val="24"/>
          <w:szCs w:val="24"/>
        </w:rPr>
        <w:t> </w:t>
      </w:r>
    </w:p>
    <w:tbl>
      <w:tblPr>
        <w:tblW w:w="35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4"/>
        <w:gridCol w:w="1419"/>
        <w:gridCol w:w="1841"/>
        <w:gridCol w:w="1982"/>
      </w:tblGrid>
      <w:tr w:rsidR="00D2637C" w:rsidRPr="00F34150" w:rsidTr="008A66E3">
        <w:trPr>
          <w:jc w:val="center"/>
        </w:trPr>
        <w:tc>
          <w:tcPr>
            <w:tcW w:w="977" w:type="pct"/>
            <w:vAlign w:val="center"/>
            <w:hideMark/>
          </w:tcPr>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Harf Notu</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A</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B</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C</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D</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E</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FX</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F</w:t>
            </w:r>
          </w:p>
        </w:tc>
        <w:tc>
          <w:tcPr>
            <w:tcW w:w="1089" w:type="pct"/>
            <w:vAlign w:val="center"/>
            <w:hideMark/>
          </w:tcPr>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Katsayısı</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4,00</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3,50</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3,00</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2,50</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2,00</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1,50</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0</w:t>
            </w:r>
          </w:p>
        </w:tc>
        <w:tc>
          <w:tcPr>
            <w:tcW w:w="1413" w:type="pct"/>
            <w:vAlign w:val="center"/>
          </w:tcPr>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Yüzde Karşılığı</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90 - 100</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85 - 89</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75 - 84</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70 - 74</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60 - 69</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50 - 59</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49 ve aşağısı</w:t>
            </w:r>
          </w:p>
        </w:tc>
        <w:tc>
          <w:tcPr>
            <w:tcW w:w="1522" w:type="pct"/>
            <w:vAlign w:val="center"/>
            <w:hideMark/>
          </w:tcPr>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Başarı Derecesi</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Mükemmel</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Çok İyi</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İyi</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Orta</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Geçer</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Başarısız</w:t>
            </w:r>
          </w:p>
          <w:p w:rsidR="008A66E3" w:rsidRPr="00F34150" w:rsidRDefault="008A66E3" w:rsidP="008A66E3">
            <w:pPr>
              <w:jc w:val="center"/>
              <w:rPr>
                <w:rFonts w:ascii="Times New Roman" w:hAnsi="Times New Roman" w:cs="Times New Roman"/>
                <w:sz w:val="24"/>
                <w:szCs w:val="24"/>
              </w:rPr>
            </w:pPr>
            <w:r w:rsidRPr="00F34150">
              <w:rPr>
                <w:rFonts w:ascii="Times New Roman" w:hAnsi="Times New Roman" w:cs="Times New Roman"/>
                <w:sz w:val="24"/>
                <w:szCs w:val="24"/>
              </w:rPr>
              <w:t>Başarısız</w:t>
            </w:r>
          </w:p>
        </w:tc>
      </w:tr>
    </w:tbl>
    <w:p w:rsidR="00DF3C47" w:rsidRPr="00F34150" w:rsidRDefault="00DF3C47" w:rsidP="00DF3C47">
      <w:pPr>
        <w:jc w:val="both"/>
        <w:rPr>
          <w:rFonts w:ascii="Times New Roman" w:hAnsi="Times New Roman" w:cs="Times New Roman"/>
          <w:sz w:val="24"/>
          <w:szCs w:val="24"/>
        </w:rPr>
      </w:pPr>
      <w:r w:rsidRPr="00F34150">
        <w:rPr>
          <w:rFonts w:ascii="Times New Roman" w:hAnsi="Times New Roman" w:cs="Times New Roman"/>
          <w:sz w:val="24"/>
          <w:szCs w:val="24"/>
        </w:rPr>
        <w:t> </w:t>
      </w:r>
    </w:p>
    <w:p w:rsidR="008A66E3" w:rsidRPr="00F34150" w:rsidRDefault="008A66E3" w:rsidP="00DF3C47">
      <w:pPr>
        <w:jc w:val="both"/>
        <w:rPr>
          <w:rFonts w:ascii="Times New Roman" w:hAnsi="Times New Roman" w:cs="Times New Roman"/>
          <w:sz w:val="24"/>
          <w:szCs w:val="24"/>
        </w:rPr>
      </w:pPr>
      <w:r w:rsidRPr="00F34150">
        <w:rPr>
          <w:rFonts w:ascii="Times New Roman" w:hAnsi="Times New Roman" w:cs="Times New Roman"/>
          <w:sz w:val="24"/>
          <w:szCs w:val="24"/>
        </w:rPr>
        <w:t xml:space="preserve">b) Ayrıca aşağıda belirtilen harf notlarından;  </w:t>
      </w:r>
    </w:p>
    <w:p w:rsidR="00D2637C" w:rsidRPr="00F34150" w:rsidRDefault="008A66E3" w:rsidP="00DF3C47">
      <w:pPr>
        <w:jc w:val="both"/>
        <w:rPr>
          <w:rFonts w:ascii="Times New Roman" w:hAnsi="Times New Roman" w:cs="Times New Roman"/>
          <w:sz w:val="24"/>
          <w:szCs w:val="24"/>
        </w:rPr>
      </w:pPr>
      <w:r w:rsidRPr="00F34150">
        <w:rPr>
          <w:rFonts w:ascii="Times New Roman" w:hAnsi="Times New Roman" w:cs="Times New Roman"/>
          <w:sz w:val="24"/>
          <w:szCs w:val="24"/>
        </w:rPr>
        <w:t xml:space="preserve">1) Devam koşulunu yerine getirmeyen veya uygulamadan başarısız olan öğrenciye DZ (devamsız) notu verilir. Katsayı değeri F ile aynıdır. </w:t>
      </w:r>
    </w:p>
    <w:p w:rsidR="00D2637C" w:rsidRPr="00F34150" w:rsidRDefault="008A66E3" w:rsidP="00DF3C47">
      <w:pPr>
        <w:jc w:val="both"/>
        <w:rPr>
          <w:rFonts w:ascii="Times New Roman" w:hAnsi="Times New Roman" w:cs="Times New Roman"/>
          <w:sz w:val="24"/>
          <w:szCs w:val="24"/>
        </w:rPr>
      </w:pPr>
      <w:r w:rsidRPr="00F34150">
        <w:rPr>
          <w:rFonts w:ascii="Times New Roman" w:hAnsi="Times New Roman" w:cs="Times New Roman"/>
          <w:sz w:val="24"/>
          <w:szCs w:val="24"/>
        </w:rPr>
        <w:t xml:space="preserve">2) Senatonun onayı ile genel not ortalamasına katılması uygun görülmeyen derslerden alınan notları değerlendirmek için YT (Yeterli) ve YZ (Yetersiz) başarı notları kullanılır.  </w:t>
      </w:r>
    </w:p>
    <w:p w:rsidR="00D2637C" w:rsidRPr="00F34150" w:rsidRDefault="008A66E3" w:rsidP="00DF3C47">
      <w:pPr>
        <w:jc w:val="both"/>
        <w:rPr>
          <w:rFonts w:ascii="Times New Roman" w:hAnsi="Times New Roman" w:cs="Times New Roman"/>
          <w:sz w:val="24"/>
          <w:szCs w:val="24"/>
        </w:rPr>
      </w:pPr>
      <w:r w:rsidRPr="00F34150">
        <w:rPr>
          <w:rFonts w:ascii="Times New Roman" w:hAnsi="Times New Roman" w:cs="Times New Roman"/>
          <w:sz w:val="24"/>
          <w:szCs w:val="24"/>
        </w:rPr>
        <w:t xml:space="preserve">3) </w:t>
      </w:r>
      <w:r w:rsidR="00D2637C" w:rsidRPr="00F34150">
        <w:rPr>
          <w:rFonts w:ascii="Times New Roman" w:hAnsi="Times New Roman" w:cs="Times New Roman"/>
          <w:sz w:val="24"/>
          <w:szCs w:val="24"/>
        </w:rPr>
        <w:t>Y</w:t>
      </w:r>
      <w:r w:rsidRPr="00F34150">
        <w:rPr>
          <w:rFonts w:ascii="Times New Roman" w:hAnsi="Times New Roman" w:cs="Times New Roman"/>
          <w:sz w:val="24"/>
          <w:szCs w:val="24"/>
        </w:rPr>
        <w:t xml:space="preserve">apılan muafiyet sınavı sonucunda başarılı olan öğrencilerin başarı notunu göstermek için MU (muaf) notu kullanılır. </w:t>
      </w:r>
    </w:p>
    <w:p w:rsidR="00D2637C" w:rsidRPr="00F34150" w:rsidRDefault="00D2637C" w:rsidP="00DF3C47">
      <w:pPr>
        <w:jc w:val="both"/>
        <w:rPr>
          <w:rFonts w:ascii="Times New Roman" w:hAnsi="Times New Roman" w:cs="Times New Roman"/>
          <w:sz w:val="24"/>
          <w:szCs w:val="24"/>
        </w:rPr>
      </w:pPr>
      <w:r w:rsidRPr="00F34150">
        <w:rPr>
          <w:rFonts w:ascii="Times New Roman" w:hAnsi="Times New Roman" w:cs="Times New Roman"/>
          <w:sz w:val="24"/>
          <w:szCs w:val="24"/>
        </w:rPr>
        <w:lastRenderedPageBreak/>
        <w:t>4</w:t>
      </w:r>
      <w:r w:rsidR="008A66E3" w:rsidRPr="00F34150">
        <w:rPr>
          <w:rFonts w:ascii="Times New Roman" w:hAnsi="Times New Roman" w:cs="Times New Roman"/>
          <w:sz w:val="24"/>
          <w:szCs w:val="24"/>
        </w:rPr>
        <w:t xml:space="preserve">) 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 </w:t>
      </w:r>
    </w:p>
    <w:p w:rsidR="00DF3C47" w:rsidRPr="00F34150" w:rsidRDefault="00DF3C47" w:rsidP="00DF3C47">
      <w:pPr>
        <w:jc w:val="both"/>
        <w:rPr>
          <w:rFonts w:ascii="Times New Roman" w:hAnsi="Times New Roman" w:cs="Times New Roman"/>
          <w:sz w:val="24"/>
          <w:szCs w:val="24"/>
        </w:rPr>
      </w:pPr>
      <w:r w:rsidRPr="00F34150">
        <w:rPr>
          <w:rFonts w:ascii="Times New Roman" w:hAnsi="Times New Roman" w:cs="Times New Roman"/>
          <w:sz w:val="24"/>
          <w:szCs w:val="24"/>
        </w:rPr>
        <w:br/>
      </w:r>
      <w:hyperlink r:id="rId10" w:tgtFrame="_blank" w:history="1">
        <w:r w:rsidRPr="00F34150">
          <w:rPr>
            <w:rStyle w:val="Kpr"/>
            <w:rFonts w:ascii="Times New Roman" w:hAnsi="Times New Roman" w:cs="Times New Roman"/>
            <w:b/>
            <w:bCs/>
            <w:sz w:val="24"/>
            <w:szCs w:val="24"/>
          </w:rPr>
          <w:t>Not Ortalaması</w:t>
        </w:r>
      </w:hyperlink>
    </w:p>
    <w:p w:rsidR="008A66E3" w:rsidRPr="00F34150" w:rsidRDefault="00DF3C47" w:rsidP="008A66E3">
      <w:pPr>
        <w:jc w:val="both"/>
        <w:rPr>
          <w:rFonts w:ascii="Times New Roman" w:hAnsi="Times New Roman" w:cs="Times New Roman"/>
          <w:sz w:val="24"/>
          <w:szCs w:val="24"/>
        </w:rPr>
      </w:pPr>
      <w:r w:rsidRPr="00F34150">
        <w:rPr>
          <w:rFonts w:ascii="Times New Roman" w:hAnsi="Times New Roman" w:cs="Times New Roman"/>
          <w:sz w:val="24"/>
          <w:szCs w:val="24"/>
        </w:rPr>
        <w:t> </w:t>
      </w:r>
      <w:r w:rsidR="008A66E3" w:rsidRPr="00F34150">
        <w:rPr>
          <w:rFonts w:ascii="Times New Roman" w:hAnsi="Times New Roman" w:cs="Times New Roman"/>
          <w:sz w:val="24"/>
          <w:szCs w:val="24"/>
        </w:rPr>
        <w:t xml:space="preserve">(1) Genel not ortalaması, öğrencinin biriminde öğrenime başladığı andan itibaren tamamlamış olduğu yarıyıl da dâhil olmak üzere kayıt yaptırdığı derslerden aldığı en son başarı notlarının katsayılarının, dersin </w:t>
      </w:r>
      <w:proofErr w:type="spellStart"/>
      <w:r w:rsidR="008A66E3" w:rsidRPr="00F34150">
        <w:rPr>
          <w:rFonts w:ascii="Times New Roman" w:hAnsi="Times New Roman" w:cs="Times New Roman"/>
          <w:sz w:val="24"/>
          <w:szCs w:val="24"/>
        </w:rPr>
        <w:t>AKTS’si</w:t>
      </w:r>
      <w:proofErr w:type="spellEnd"/>
      <w:r w:rsidR="008A66E3" w:rsidRPr="00F34150">
        <w:rPr>
          <w:rFonts w:ascii="Times New Roman" w:hAnsi="Times New Roman" w:cs="Times New Roman"/>
          <w:sz w:val="24"/>
          <w:szCs w:val="24"/>
        </w:rPr>
        <w:t xml:space="preserve"> ile çarpılıp çarpımlarının toplanması ile elde edilen sayının, bu derslerin AKTS toplamlarına bölünmesi ile bulunur. </w:t>
      </w:r>
    </w:p>
    <w:p w:rsidR="00427454" w:rsidRPr="00F34150" w:rsidRDefault="00427454" w:rsidP="00DF3C47">
      <w:pPr>
        <w:jc w:val="both"/>
        <w:rPr>
          <w:rFonts w:ascii="Times New Roman" w:hAnsi="Times New Roman" w:cs="Times New Roman"/>
          <w:sz w:val="24"/>
          <w:szCs w:val="24"/>
        </w:rPr>
      </w:pPr>
      <w:r w:rsidRPr="00F34150">
        <w:rPr>
          <w:rFonts w:ascii="Times New Roman" w:hAnsi="Times New Roman" w:cs="Times New Roman"/>
          <w:sz w:val="24"/>
          <w:szCs w:val="24"/>
        </w:rPr>
        <w:t xml:space="preserve"> </w:t>
      </w:r>
      <w:r w:rsidR="008A66E3" w:rsidRPr="00F34150">
        <w:rPr>
          <w:rFonts w:ascii="Times New Roman" w:hAnsi="Times New Roman" w:cs="Times New Roman"/>
          <w:sz w:val="24"/>
          <w:szCs w:val="24"/>
        </w:rPr>
        <w:t>(</w:t>
      </w:r>
      <w:r w:rsidRPr="00F34150">
        <w:rPr>
          <w:rFonts w:ascii="Times New Roman" w:hAnsi="Times New Roman" w:cs="Times New Roman"/>
          <w:sz w:val="24"/>
          <w:szCs w:val="24"/>
        </w:rPr>
        <w:t>2</w:t>
      </w:r>
      <w:r w:rsidR="008A66E3" w:rsidRPr="00F34150">
        <w:rPr>
          <w:rFonts w:ascii="Times New Roman" w:hAnsi="Times New Roman" w:cs="Times New Roman"/>
          <w:sz w:val="24"/>
          <w:szCs w:val="24"/>
        </w:rPr>
        <w:t>) Eşdeğerliği kabul edilerek harf notu belirlenen dersler intibak işleminin yapıldığı tarih itibariyle genel not ortalamasına dâhil edilir.</w:t>
      </w:r>
    </w:p>
    <w:p w:rsidR="004F0D09" w:rsidRPr="00F34150" w:rsidRDefault="004F0D09" w:rsidP="0005502B">
      <w:pPr>
        <w:rPr>
          <w:rStyle w:val="Kpr"/>
          <w:rFonts w:ascii="Times New Roman" w:hAnsi="Times New Roman" w:cs="Times New Roman"/>
          <w:b/>
          <w:bCs/>
          <w:sz w:val="24"/>
          <w:szCs w:val="24"/>
        </w:rPr>
      </w:pPr>
    </w:p>
    <w:p w:rsidR="0005502B" w:rsidRPr="00F34150" w:rsidRDefault="0005502B" w:rsidP="0005502B">
      <w:pPr>
        <w:rPr>
          <w:rStyle w:val="Kpr"/>
          <w:rFonts w:ascii="Times New Roman" w:hAnsi="Times New Roman" w:cs="Times New Roman"/>
          <w:b/>
          <w:bCs/>
          <w:sz w:val="24"/>
          <w:szCs w:val="24"/>
        </w:rPr>
      </w:pPr>
      <w:r w:rsidRPr="00F34150">
        <w:rPr>
          <w:rStyle w:val="Kpr"/>
          <w:rFonts w:ascii="Times New Roman" w:hAnsi="Times New Roman" w:cs="Times New Roman"/>
          <w:b/>
          <w:bCs/>
          <w:sz w:val="24"/>
          <w:szCs w:val="24"/>
        </w:rPr>
        <w:t xml:space="preserve">Mezuniyet işlemleri </w:t>
      </w:r>
    </w:p>
    <w:p w:rsidR="0005502B" w:rsidRPr="00F34150" w:rsidRDefault="0005502B" w:rsidP="00D2637C">
      <w:pPr>
        <w:jc w:val="both"/>
        <w:rPr>
          <w:rFonts w:ascii="Times New Roman" w:hAnsi="Times New Roman" w:cs="Times New Roman"/>
          <w:sz w:val="24"/>
          <w:szCs w:val="24"/>
        </w:rPr>
      </w:pPr>
      <w:r w:rsidRPr="00F34150">
        <w:rPr>
          <w:rFonts w:ascii="Times New Roman" w:hAnsi="Times New Roman" w:cs="Times New Roman"/>
          <w:sz w:val="24"/>
          <w:szCs w:val="24"/>
        </w:rPr>
        <w:t xml:space="preserve">Genel not ortalaması en az 2,00 olan ve kayıtlı olduğu birimin eğitim-öğretim müfredatında öngörülen derslerden, dört yıllık lisans programları için en az 240 </w:t>
      </w:r>
      <w:proofErr w:type="spellStart"/>
      <w:r w:rsidRPr="00F34150">
        <w:rPr>
          <w:rFonts w:ascii="Times New Roman" w:hAnsi="Times New Roman" w:cs="Times New Roman"/>
          <w:sz w:val="24"/>
          <w:szCs w:val="24"/>
        </w:rPr>
        <w:t>AKTS'lik</w:t>
      </w:r>
      <w:proofErr w:type="spellEnd"/>
      <w:r w:rsidRPr="00F34150">
        <w:rPr>
          <w:rFonts w:ascii="Times New Roman" w:hAnsi="Times New Roman" w:cs="Times New Roman"/>
          <w:sz w:val="24"/>
          <w:szCs w:val="24"/>
        </w:rPr>
        <w:t xml:space="preserve"> ders alarak programı başarıyla tamamlayan öğrenci mezun olmaya hak kazanır. </w:t>
      </w:r>
    </w:p>
    <w:p w:rsidR="0005502B" w:rsidRPr="00F34150" w:rsidRDefault="0005502B" w:rsidP="00D2637C">
      <w:pPr>
        <w:jc w:val="both"/>
        <w:rPr>
          <w:rFonts w:ascii="Times New Roman" w:hAnsi="Times New Roman" w:cs="Times New Roman"/>
          <w:sz w:val="24"/>
          <w:szCs w:val="24"/>
        </w:rPr>
      </w:pPr>
      <w:r w:rsidRPr="00F34150">
        <w:rPr>
          <w:rFonts w:ascii="Times New Roman" w:hAnsi="Times New Roman" w:cs="Times New Roman"/>
          <w:sz w:val="24"/>
          <w:szCs w:val="24"/>
        </w:rPr>
        <w:t>Mezuniyet işlemleri, öğrenci işleri kayıtlarının danışman tarafından kontrol edilip onaylanmasıyla tamamlanır.</w:t>
      </w:r>
    </w:p>
    <w:p w:rsidR="004F0D09" w:rsidRPr="00F34150" w:rsidRDefault="004F0D09" w:rsidP="00D2637C">
      <w:pPr>
        <w:jc w:val="both"/>
        <w:rPr>
          <w:rFonts w:ascii="Times New Roman" w:hAnsi="Times New Roman" w:cs="Times New Roman"/>
          <w:sz w:val="24"/>
          <w:szCs w:val="24"/>
        </w:rPr>
      </w:pPr>
    </w:p>
    <w:p w:rsidR="0005502B" w:rsidRPr="00F34150" w:rsidRDefault="00F34150" w:rsidP="00D2637C">
      <w:pPr>
        <w:jc w:val="both"/>
        <w:rPr>
          <w:rFonts w:ascii="Times New Roman" w:hAnsi="Times New Roman" w:cs="Times New Roman"/>
          <w:sz w:val="24"/>
          <w:szCs w:val="24"/>
        </w:rPr>
      </w:pPr>
      <w:hyperlink r:id="rId11" w:tgtFrame="_blank" w:history="1">
        <w:r w:rsidR="00DF3C47" w:rsidRPr="00F34150">
          <w:rPr>
            <w:rStyle w:val="Kpr"/>
            <w:rFonts w:ascii="Times New Roman" w:hAnsi="Times New Roman" w:cs="Times New Roman"/>
            <w:b/>
            <w:bCs/>
            <w:sz w:val="24"/>
            <w:szCs w:val="24"/>
          </w:rPr>
          <w:t>Diploma</w:t>
        </w:r>
      </w:hyperlink>
    </w:p>
    <w:p w:rsidR="0005502B" w:rsidRPr="00F34150" w:rsidRDefault="00D2637C" w:rsidP="00D2637C">
      <w:pPr>
        <w:jc w:val="both"/>
        <w:rPr>
          <w:rFonts w:ascii="Times New Roman" w:hAnsi="Times New Roman" w:cs="Times New Roman"/>
          <w:sz w:val="24"/>
          <w:szCs w:val="24"/>
        </w:rPr>
      </w:pPr>
      <w:r w:rsidRPr="00F34150">
        <w:rPr>
          <w:rFonts w:ascii="Times New Roman" w:hAnsi="Times New Roman" w:cs="Times New Roman"/>
          <w:sz w:val="24"/>
          <w:szCs w:val="24"/>
        </w:rPr>
        <w:t xml:space="preserve">(1) Mezuniyetlerine karar verilen öğrencilere, başardığı dersleri gösteren bölüm/programa göre ön lisans veya lisans diploması verilir. </w:t>
      </w:r>
    </w:p>
    <w:p w:rsidR="00427454" w:rsidRPr="00F34150" w:rsidRDefault="00D2637C" w:rsidP="00D2637C">
      <w:pPr>
        <w:jc w:val="both"/>
        <w:rPr>
          <w:rFonts w:ascii="Times New Roman" w:hAnsi="Times New Roman" w:cs="Times New Roman"/>
          <w:sz w:val="24"/>
          <w:szCs w:val="24"/>
        </w:rPr>
      </w:pPr>
      <w:r w:rsidRPr="00F34150">
        <w:rPr>
          <w:rFonts w:ascii="Times New Roman" w:hAnsi="Times New Roman" w:cs="Times New Roman"/>
          <w:sz w:val="24"/>
          <w:szCs w:val="24"/>
        </w:rPr>
        <w:t xml:space="preserve">(2) Diplomaların hazır olmadığı durumlarda öğrencilere geçici mezuniyet belgesi de verilebilir.  </w:t>
      </w:r>
    </w:p>
    <w:p w:rsidR="0005502B" w:rsidRPr="00F34150" w:rsidRDefault="00D2637C" w:rsidP="00D2637C">
      <w:pPr>
        <w:jc w:val="both"/>
        <w:rPr>
          <w:rFonts w:ascii="Times New Roman" w:hAnsi="Times New Roman" w:cs="Times New Roman"/>
          <w:sz w:val="24"/>
          <w:szCs w:val="24"/>
        </w:rPr>
      </w:pPr>
      <w:proofErr w:type="gramStart"/>
      <w:r w:rsidRPr="00F34150">
        <w:rPr>
          <w:rFonts w:ascii="Times New Roman" w:hAnsi="Times New Roman" w:cs="Times New Roman"/>
          <w:sz w:val="24"/>
          <w:szCs w:val="24"/>
        </w:rPr>
        <w:t xml:space="preserve">(3) Yarıyıl sonu ve bütünleme sınavı sonuçlarına göre mezun olanların ilgili sınav döneminin bitimini izleyen ilk iş günü, üç ders sınavı sonucuna göre mezun olanların üç ders sınavını takip eden ilk iş günü, ek sınavla mezun olanların son ek sınavını takip eden ilk iş günü, staj sonunda mezun olanların ise stajın bittiği günü takip eden ilk iş günü mezuniyet tarihi olarak belirlenir. </w:t>
      </w:r>
      <w:proofErr w:type="gramEnd"/>
      <w:r w:rsidRPr="00F34150">
        <w:rPr>
          <w:rFonts w:ascii="Times New Roman" w:hAnsi="Times New Roman" w:cs="Times New Roman"/>
          <w:sz w:val="24"/>
          <w:szCs w:val="24"/>
        </w:rPr>
        <w:t xml:space="preserve">Değişim programları, özel öğrencilik veya yaz okulu intibakı sonucunda mezun olanlara ise intibakın yapıldığı yönetim kurulu karar tarihi mezuniyet tarihi olarak belirlenir. </w:t>
      </w:r>
    </w:p>
    <w:p w:rsidR="0005502B" w:rsidRPr="00F34150" w:rsidRDefault="00D2637C" w:rsidP="00D2637C">
      <w:pPr>
        <w:jc w:val="both"/>
        <w:rPr>
          <w:rFonts w:ascii="Times New Roman" w:hAnsi="Times New Roman" w:cs="Times New Roman"/>
          <w:sz w:val="24"/>
          <w:szCs w:val="24"/>
        </w:rPr>
      </w:pPr>
      <w:r w:rsidRPr="00F34150">
        <w:rPr>
          <w:rFonts w:ascii="Times New Roman" w:hAnsi="Times New Roman" w:cs="Times New Roman"/>
          <w:sz w:val="24"/>
          <w:szCs w:val="24"/>
        </w:rPr>
        <w:t xml:space="preserve">(4) Diplomasını kaybeden öğrenciye, üzerinde diploma bilgileri ve kaçıncı kez düzenlendiği bilgisi bulunan diplomanın ikinci nüshası düzenlenir. </w:t>
      </w:r>
    </w:p>
    <w:p w:rsidR="0005502B" w:rsidRPr="00F34150" w:rsidRDefault="00D2637C" w:rsidP="00D2637C">
      <w:pPr>
        <w:jc w:val="both"/>
        <w:rPr>
          <w:rFonts w:ascii="Times New Roman" w:hAnsi="Times New Roman" w:cs="Times New Roman"/>
          <w:sz w:val="24"/>
          <w:szCs w:val="24"/>
        </w:rPr>
      </w:pPr>
      <w:r w:rsidRPr="00F34150">
        <w:rPr>
          <w:rFonts w:ascii="Times New Roman" w:hAnsi="Times New Roman" w:cs="Times New Roman"/>
          <w:sz w:val="24"/>
          <w:szCs w:val="24"/>
        </w:rPr>
        <w:t xml:space="preserve">(5) Lisans öğrenimine devam eden öğrencilerden kayıtlı olduğu programın ilk dört yarıyılındaki alması gereken bütün dersleri almış ve başarıyla tamamlamış olanlara, kaydını sildirmesi şartıyla ön lisans diploması verilir. Ancak bu şekilde alınan diplomalara meslek belirtilmeden ilgili bölümde iki yıllık yükseköğrenim gördüğüne ilişkin ibare yazılır. Bu öğrencilerin mezuniyet tarihi ilgili yönetim kurulu karar tarihi olarak belirlenir. </w:t>
      </w:r>
    </w:p>
    <w:p w:rsidR="00780398" w:rsidRPr="00F34150" w:rsidRDefault="00D2637C" w:rsidP="00D2637C">
      <w:pPr>
        <w:jc w:val="both"/>
        <w:rPr>
          <w:rFonts w:ascii="Times New Roman" w:hAnsi="Times New Roman" w:cs="Times New Roman"/>
          <w:sz w:val="24"/>
          <w:szCs w:val="24"/>
        </w:rPr>
      </w:pPr>
      <w:r w:rsidRPr="00F34150">
        <w:rPr>
          <w:rFonts w:ascii="Times New Roman" w:hAnsi="Times New Roman" w:cs="Times New Roman"/>
          <w:sz w:val="24"/>
          <w:szCs w:val="24"/>
        </w:rPr>
        <w:t>(6) Mezuniyet işlemleri Senato tarafından kabul edilen yönerge hükümlerine göre yürütülür.</w:t>
      </w:r>
    </w:p>
    <w:sectPr w:rsidR="00780398" w:rsidRPr="00F34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70737"/>
    <w:multiLevelType w:val="multilevel"/>
    <w:tmpl w:val="0140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36"/>
    <w:rsid w:val="0005502B"/>
    <w:rsid w:val="000C4DBB"/>
    <w:rsid w:val="002B06C7"/>
    <w:rsid w:val="00427454"/>
    <w:rsid w:val="004E0F1F"/>
    <w:rsid w:val="004F0D09"/>
    <w:rsid w:val="0058200C"/>
    <w:rsid w:val="00600603"/>
    <w:rsid w:val="00780398"/>
    <w:rsid w:val="007A35B4"/>
    <w:rsid w:val="008A66E3"/>
    <w:rsid w:val="00AE31E6"/>
    <w:rsid w:val="00AF76F2"/>
    <w:rsid w:val="00B57773"/>
    <w:rsid w:val="00BB0070"/>
    <w:rsid w:val="00D2637C"/>
    <w:rsid w:val="00DF3C47"/>
    <w:rsid w:val="00E71830"/>
    <w:rsid w:val="00EC3936"/>
    <w:rsid w:val="00F34150"/>
    <w:rsid w:val="00FD0B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D0D60-DFBB-4E55-AEE3-B44CF104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006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F76F2"/>
    <w:rPr>
      <w:color w:val="0563C1" w:themeColor="hyperlink"/>
      <w:u w:val="single"/>
    </w:rPr>
  </w:style>
  <w:style w:type="character" w:styleId="zlenenKpr">
    <w:name w:val="FollowedHyperlink"/>
    <w:basedOn w:val="VarsaylanParagrafYazTipi"/>
    <w:uiPriority w:val="99"/>
    <w:semiHidden/>
    <w:unhideWhenUsed/>
    <w:rsid w:val="00AE31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05620">
      <w:bodyDiv w:val="1"/>
      <w:marLeft w:val="0"/>
      <w:marRight w:val="0"/>
      <w:marTop w:val="0"/>
      <w:marBottom w:val="0"/>
      <w:divBdr>
        <w:top w:val="none" w:sz="0" w:space="0" w:color="auto"/>
        <w:left w:val="none" w:sz="0" w:space="0" w:color="auto"/>
        <w:bottom w:val="none" w:sz="0" w:space="0" w:color="auto"/>
        <w:right w:val="none" w:sz="0" w:space="0" w:color="auto"/>
      </w:divBdr>
      <w:divsChild>
        <w:div w:id="560167675">
          <w:marLeft w:val="0"/>
          <w:marRight w:val="0"/>
          <w:marTop w:val="0"/>
          <w:marBottom w:val="0"/>
          <w:divBdr>
            <w:top w:val="none" w:sz="0" w:space="0" w:color="auto"/>
            <w:left w:val="none" w:sz="0" w:space="0" w:color="auto"/>
            <w:bottom w:val="none" w:sz="0" w:space="0" w:color="auto"/>
            <w:right w:val="none" w:sz="0" w:space="0" w:color="auto"/>
          </w:divBdr>
        </w:div>
        <w:div w:id="166409742">
          <w:marLeft w:val="0"/>
          <w:marRight w:val="0"/>
          <w:marTop w:val="0"/>
          <w:marBottom w:val="0"/>
          <w:divBdr>
            <w:top w:val="none" w:sz="0" w:space="0" w:color="auto"/>
            <w:left w:val="none" w:sz="0" w:space="0" w:color="auto"/>
            <w:bottom w:val="none" w:sz="0" w:space="0" w:color="auto"/>
            <w:right w:val="none" w:sz="0" w:space="0" w:color="auto"/>
          </w:divBdr>
        </w:div>
        <w:div w:id="1645233826">
          <w:marLeft w:val="0"/>
          <w:marRight w:val="0"/>
          <w:marTop w:val="0"/>
          <w:marBottom w:val="0"/>
          <w:divBdr>
            <w:top w:val="none" w:sz="0" w:space="0" w:color="auto"/>
            <w:left w:val="none" w:sz="0" w:space="0" w:color="auto"/>
            <w:bottom w:val="none" w:sz="0" w:space="0" w:color="auto"/>
            <w:right w:val="none" w:sz="0" w:space="0" w:color="auto"/>
          </w:divBdr>
        </w:div>
        <w:div w:id="1266963252">
          <w:marLeft w:val="0"/>
          <w:marRight w:val="0"/>
          <w:marTop w:val="0"/>
          <w:marBottom w:val="0"/>
          <w:divBdr>
            <w:top w:val="none" w:sz="0" w:space="0" w:color="auto"/>
            <w:left w:val="none" w:sz="0" w:space="0" w:color="auto"/>
            <w:bottom w:val="none" w:sz="0" w:space="0" w:color="auto"/>
            <w:right w:val="none" w:sz="0" w:space="0" w:color="auto"/>
          </w:divBdr>
        </w:div>
        <w:div w:id="582031129">
          <w:marLeft w:val="0"/>
          <w:marRight w:val="0"/>
          <w:marTop w:val="0"/>
          <w:marBottom w:val="0"/>
          <w:divBdr>
            <w:top w:val="none" w:sz="0" w:space="0" w:color="auto"/>
            <w:left w:val="none" w:sz="0" w:space="0" w:color="auto"/>
            <w:bottom w:val="none" w:sz="0" w:space="0" w:color="auto"/>
            <w:right w:val="none" w:sz="0" w:space="0" w:color="auto"/>
          </w:divBdr>
        </w:div>
        <w:div w:id="2082408305">
          <w:marLeft w:val="0"/>
          <w:marRight w:val="0"/>
          <w:marTop w:val="0"/>
          <w:marBottom w:val="0"/>
          <w:divBdr>
            <w:top w:val="none" w:sz="0" w:space="0" w:color="auto"/>
            <w:left w:val="none" w:sz="0" w:space="0" w:color="auto"/>
            <w:bottom w:val="none" w:sz="0" w:space="0" w:color="auto"/>
            <w:right w:val="none" w:sz="0" w:space="0" w:color="auto"/>
          </w:divBdr>
        </w:div>
        <w:div w:id="188613354">
          <w:marLeft w:val="0"/>
          <w:marRight w:val="0"/>
          <w:marTop w:val="0"/>
          <w:marBottom w:val="0"/>
          <w:divBdr>
            <w:top w:val="none" w:sz="0" w:space="0" w:color="auto"/>
            <w:left w:val="none" w:sz="0" w:space="0" w:color="auto"/>
            <w:bottom w:val="none" w:sz="0" w:space="0" w:color="auto"/>
            <w:right w:val="none" w:sz="0" w:space="0" w:color="auto"/>
          </w:divBdr>
        </w:div>
        <w:div w:id="1493446808">
          <w:marLeft w:val="0"/>
          <w:marRight w:val="0"/>
          <w:marTop w:val="0"/>
          <w:marBottom w:val="0"/>
          <w:divBdr>
            <w:top w:val="none" w:sz="0" w:space="0" w:color="auto"/>
            <w:left w:val="none" w:sz="0" w:space="0" w:color="auto"/>
            <w:bottom w:val="none" w:sz="0" w:space="0" w:color="auto"/>
            <w:right w:val="none" w:sz="0" w:space="0" w:color="auto"/>
          </w:divBdr>
        </w:div>
        <w:div w:id="1188828749">
          <w:marLeft w:val="0"/>
          <w:marRight w:val="0"/>
          <w:marTop w:val="0"/>
          <w:marBottom w:val="0"/>
          <w:divBdr>
            <w:top w:val="none" w:sz="0" w:space="0" w:color="auto"/>
            <w:left w:val="none" w:sz="0" w:space="0" w:color="auto"/>
            <w:bottom w:val="none" w:sz="0" w:space="0" w:color="auto"/>
            <w:right w:val="none" w:sz="0" w:space="0" w:color="auto"/>
          </w:divBdr>
        </w:div>
      </w:divsChild>
    </w:div>
    <w:div w:id="580528497">
      <w:bodyDiv w:val="1"/>
      <w:marLeft w:val="0"/>
      <w:marRight w:val="0"/>
      <w:marTop w:val="0"/>
      <w:marBottom w:val="0"/>
      <w:divBdr>
        <w:top w:val="none" w:sz="0" w:space="0" w:color="auto"/>
        <w:left w:val="none" w:sz="0" w:space="0" w:color="auto"/>
        <w:bottom w:val="none" w:sz="0" w:space="0" w:color="auto"/>
        <w:right w:val="none" w:sz="0" w:space="0" w:color="auto"/>
      </w:divBdr>
    </w:div>
    <w:div w:id="585924349">
      <w:bodyDiv w:val="1"/>
      <w:marLeft w:val="0"/>
      <w:marRight w:val="0"/>
      <w:marTop w:val="0"/>
      <w:marBottom w:val="0"/>
      <w:divBdr>
        <w:top w:val="none" w:sz="0" w:space="0" w:color="auto"/>
        <w:left w:val="none" w:sz="0" w:space="0" w:color="auto"/>
        <w:bottom w:val="none" w:sz="0" w:space="0" w:color="auto"/>
        <w:right w:val="none" w:sz="0" w:space="0" w:color="auto"/>
      </w:divBdr>
    </w:div>
    <w:div w:id="1539195407">
      <w:bodyDiv w:val="1"/>
      <w:marLeft w:val="0"/>
      <w:marRight w:val="0"/>
      <w:marTop w:val="0"/>
      <w:marBottom w:val="0"/>
      <w:divBdr>
        <w:top w:val="none" w:sz="0" w:space="0" w:color="auto"/>
        <w:left w:val="none" w:sz="0" w:space="0" w:color="auto"/>
        <w:bottom w:val="none" w:sz="0" w:space="0" w:color="auto"/>
        <w:right w:val="none" w:sz="0" w:space="0" w:color="auto"/>
      </w:divBdr>
      <w:divsChild>
        <w:div w:id="730808040">
          <w:marLeft w:val="0"/>
          <w:marRight w:val="0"/>
          <w:marTop w:val="0"/>
          <w:marBottom w:val="0"/>
          <w:divBdr>
            <w:top w:val="none" w:sz="0" w:space="0" w:color="auto"/>
            <w:left w:val="none" w:sz="0" w:space="0" w:color="auto"/>
            <w:bottom w:val="none" w:sz="0" w:space="0" w:color="auto"/>
            <w:right w:val="none" w:sz="0" w:space="0" w:color="auto"/>
          </w:divBdr>
        </w:div>
      </w:divsChild>
    </w:div>
    <w:div w:id="1614900428">
      <w:bodyDiv w:val="1"/>
      <w:marLeft w:val="0"/>
      <w:marRight w:val="0"/>
      <w:marTop w:val="0"/>
      <w:marBottom w:val="0"/>
      <w:divBdr>
        <w:top w:val="none" w:sz="0" w:space="0" w:color="auto"/>
        <w:left w:val="none" w:sz="0" w:space="0" w:color="auto"/>
        <w:bottom w:val="none" w:sz="0" w:space="0" w:color="auto"/>
        <w:right w:val="none" w:sz="0" w:space="0" w:color="auto"/>
      </w:divBdr>
    </w:div>
    <w:div w:id="21159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l.bartin.edu.tr/sinav-sonuclarina-itiraz-surec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l.bartin.edu.tr/sinav-yapilis-bicimleri-ve-iliskili-surele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tl.bartin.edu.tr/sinav-turleri.html" TargetMode="External"/><Relationship Id="rId11" Type="http://schemas.openxmlformats.org/officeDocument/2006/relationships/hyperlink" Target="https://utl.bartin.edu.tr/diploma.html" TargetMode="External"/><Relationship Id="rId5" Type="http://schemas.openxmlformats.org/officeDocument/2006/relationships/hyperlink" Target="https://kmu.edu.tr/mevzuat/bilgi/1039/on-lisans--lisans-sinav-yonetmeligi" TargetMode="External"/><Relationship Id="rId10" Type="http://schemas.openxmlformats.org/officeDocument/2006/relationships/hyperlink" Target="https://utl.bartin.edu.tr/not-ortalamasi.html" TargetMode="External"/><Relationship Id="rId4" Type="http://schemas.openxmlformats.org/officeDocument/2006/relationships/webSettings" Target="webSettings.xml"/><Relationship Id="rId9" Type="http://schemas.openxmlformats.org/officeDocument/2006/relationships/hyperlink" Target="https://utl.bartin.edu.tr/degerlendirme-ve-notlar.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1203</Words>
  <Characters>6859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LENOVO</cp:lastModifiedBy>
  <cp:revision>3</cp:revision>
  <dcterms:created xsi:type="dcterms:W3CDTF">2026-03-25T07:06:00Z</dcterms:created>
  <dcterms:modified xsi:type="dcterms:W3CDTF">2026-03-25T17:59:00Z</dcterms:modified>
</cp:coreProperties>
</file>